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spacing w:after="10" w:before="0" w:line="240" w:lineRule="auto"/>
        <w:jc w:val="center"/>
        <w:rPr/>
      </w:pPr>
      <w:r w:rsidDel="00000000" w:rsidR="00000000" w:rsidRPr="00000000">
        <w:rPr>
          <w:rFonts w:ascii="Times New Roman" w:cs="Times New Roman" w:eastAsia="Times New Roman" w:hAnsi="Times New Roman"/>
          <w:b w:val="1"/>
          <w:bCs w:val="1"/>
          <w:color w:val="000000"/>
          <w:sz w:val="40"/>
          <w:szCs w:val="40"/>
          <w:rtl w:val="0"/>
        </w:rPr>
        <w:t xml:space="preserve">KENNETH A WOLFRUM MPA</w:t>
      </w:r>
      <w:r w:rsidDel="00000000" w:rsidR="00000000" w:rsidRPr="00000000">
        <w:rPr>
          <w:rtl w:val="0"/>
        </w:rPr>
      </w:r>
    </w:p>
    <w:p w:rsidR="00000000" w:rsidDel="00000000" w:rsidP="00000000" w:rsidRDefault="00000000" w:rsidRPr="00000000" w14:paraId="00000002">
      <w:pPr>
        <w:keepNext w:val="0"/>
        <w:spacing w:after="70" w:before="0" w:line="240" w:lineRule="auto"/>
        <w:jc w:val="center"/>
        <w:rPr/>
      </w:pPr>
      <w:r w:rsidDel="00000000" w:rsidR="00000000" w:rsidRPr="00000000">
        <w:rPr>
          <w:rFonts w:ascii="Times New Roman" w:cs="Times New Roman" w:eastAsia="Times New Roman" w:hAnsi="Times New Roman"/>
          <w:b w:val="1"/>
          <w:bCs w:val="1"/>
          <w:color w:val="1f4e79"/>
          <w:sz w:val="22"/>
          <w:szCs w:val="22"/>
          <w:rtl w:val="0"/>
        </w:rPr>
        <w:t xml:space="preserve">PLANNING AND MUNICIPAL CONSULTING CAPABILITY STATEMENT</w:t>
      </w:r>
      <w:r w:rsidDel="00000000" w:rsidR="00000000" w:rsidRPr="00000000">
        <w:rPr>
          <w:rtl w:val="0"/>
        </w:rPr>
      </w:r>
    </w:p>
    <w:p w:rsidR="00000000" w:rsidDel="00000000" w:rsidP="00000000" w:rsidRDefault="00000000" w:rsidRPr="00000000" w14:paraId="00000003">
      <w:pPr>
        <w:keepNext w:val="0"/>
        <w:spacing w:after="6" w:before="0" w:line="240" w:lineRule="auto"/>
        <w:jc w:val="center"/>
        <w:rPr/>
      </w:pPr>
      <w:r w:rsidDel="00000000" w:rsidR="00000000" w:rsidRPr="00000000">
        <w:rPr>
          <w:rFonts w:ascii="Times New Roman" w:cs="Times New Roman" w:eastAsia="Times New Roman" w:hAnsi="Times New Roman"/>
          <w:color w:val="000000"/>
          <w:sz w:val="19"/>
          <w:szCs w:val="19"/>
          <w:rtl w:val="0"/>
        </w:rPr>
        <w:t xml:space="preserve">Lake County Indiana  |  </w:t>
      </w:r>
      <w:hyperlink r:id="rId7">
        <w:r w:rsidDel="00000000" w:rsidR="00000000" w:rsidRPr="00000000">
          <w:rPr>
            <w:rFonts w:ascii="Times New Roman" w:cs="Times New Roman" w:eastAsia="Times New Roman" w:hAnsi="Times New Roman"/>
            <w:color w:val="000000"/>
            <w:sz w:val="19"/>
            <w:szCs w:val="19"/>
            <w:u w:val="none"/>
            <w:rtl w:val="0"/>
          </w:rPr>
          <w:t xml:space="preserve">219 669 6099</w:t>
        </w:r>
      </w:hyperlink>
      <w:r w:rsidDel="00000000" w:rsidR="00000000" w:rsidRPr="00000000">
        <w:rPr>
          <w:rFonts w:ascii="Times New Roman" w:cs="Times New Roman" w:eastAsia="Times New Roman" w:hAnsi="Times New Roman"/>
          <w:color w:val="000000"/>
          <w:sz w:val="19"/>
          <w:szCs w:val="19"/>
          <w:rtl w:val="0"/>
        </w:rPr>
        <w:t xml:space="preserve">  |  </w:t>
      </w:r>
      <w:hyperlink r:id="rId8">
        <w:r w:rsidDel="00000000" w:rsidR="00000000" w:rsidRPr="00000000">
          <w:rPr>
            <w:rFonts w:ascii="Times New Roman" w:cs="Times New Roman" w:eastAsia="Times New Roman" w:hAnsi="Times New Roman"/>
            <w:color w:val="000000"/>
            <w:sz w:val="19"/>
            <w:szCs w:val="19"/>
            <w:u w:val="none"/>
            <w:rtl w:val="0"/>
          </w:rPr>
          <w:t xml:space="preserve">kmurflow@gmail.com</w:t>
        </w:r>
      </w:hyperlink>
      <w:r w:rsidDel="00000000" w:rsidR="00000000" w:rsidRPr="00000000">
        <w:rPr>
          <w:rFonts w:ascii="Times New Roman" w:cs="Times New Roman" w:eastAsia="Times New Roman" w:hAnsi="Times New Roman"/>
          <w:color w:val="000000"/>
          <w:sz w:val="19"/>
          <w:szCs w:val="19"/>
          <w:rtl w:val="0"/>
        </w:rPr>
        <w:t xml:space="preserve">  |  </w:t>
      </w:r>
      <w:hyperlink r:id="rId9">
        <w:r w:rsidDel="00000000" w:rsidR="00000000" w:rsidRPr="00000000">
          <w:rPr>
            <w:rFonts w:ascii="Times New Roman" w:cs="Times New Roman" w:eastAsia="Times New Roman" w:hAnsi="Times New Roman"/>
            <w:color w:val="000000"/>
            <w:sz w:val="19"/>
            <w:szCs w:val="19"/>
            <w:u w:val="none"/>
            <w:rtl w:val="0"/>
          </w:rPr>
          <w:t xml:space="preserve">linkedin.com/in/kenneth-wolfrum</w:t>
        </w:r>
      </w:hyperlink>
      <w:r w:rsidDel="00000000" w:rsidR="00000000" w:rsidRPr="00000000">
        <w:rPr>
          <w:rtl w:val="0"/>
        </w:rPr>
      </w:r>
    </w:p>
    <w:p w:rsidR="00000000" w:rsidDel="00000000" w:rsidP="00000000" w:rsidRDefault="00000000" w:rsidRPr="00000000" w14:paraId="00000004">
      <w:pPr>
        <w:keepNext w:val="0"/>
        <w:spacing w:after="100" w:before="0" w:line="240" w:lineRule="auto"/>
        <w:jc w:val="center"/>
        <w:rPr/>
      </w:pPr>
      <w:r w:rsidDel="00000000" w:rsidR="00000000" w:rsidRPr="00000000">
        <w:rPr>
          <w:rFonts w:ascii="Times New Roman" w:cs="Times New Roman" w:eastAsia="Times New Roman" w:hAnsi="Times New Roman"/>
          <w:b w:val="1"/>
          <w:bCs w:val="1"/>
          <w:color w:val="000000"/>
          <w:sz w:val="19"/>
          <w:szCs w:val="19"/>
          <w:rtl w:val="0"/>
        </w:rPr>
        <w:t xml:space="preserve">Portfolio  </w:t>
      </w:r>
      <w:hyperlink r:id="rId10">
        <w:r w:rsidDel="00000000" w:rsidR="00000000" w:rsidRPr="00000000">
          <w:rPr>
            <w:rFonts w:ascii="Times New Roman" w:cs="Times New Roman" w:eastAsia="Times New Roman" w:hAnsi="Times New Roman"/>
            <w:color w:val="000000"/>
            <w:sz w:val="19"/>
            <w:szCs w:val="19"/>
            <w:u w:val="none"/>
            <w:rtl w:val="0"/>
          </w:rPr>
          <w:t xml:space="preserve">kenneth-wolfrum.webnode.page/portfolio2</w:t>
        </w:r>
      </w:hyperlink>
      <w:r w:rsidDel="00000000" w:rsidR="00000000" w:rsidRPr="00000000">
        <w:rPr>
          <w:rtl w:val="0"/>
        </w:rPr>
      </w:r>
    </w:p>
    <w:p w:rsidR="00000000" w:rsidDel="00000000" w:rsidP="00000000" w:rsidRDefault="00000000" w:rsidRPr="00000000" w14:paraId="00000005">
      <w:pPr>
        <w:keepNext w:val="1"/>
        <w:shd w:fill="eaf2f8" w:val="clear"/>
        <w:spacing w:after="80" w:before="140" w:line="240" w:lineRule="auto"/>
        <w:ind w:left="75" w:right="75" w:firstLine="0"/>
        <w:rPr/>
      </w:pPr>
      <w:r w:rsidDel="00000000" w:rsidR="00000000" w:rsidRPr="00000000">
        <w:rPr>
          <w:rFonts w:ascii="Times New Roman" w:cs="Times New Roman" w:eastAsia="Times New Roman" w:hAnsi="Times New Roman"/>
          <w:b w:val="1"/>
          <w:bCs w:val="1"/>
          <w:color w:val="000000"/>
          <w:sz w:val="22"/>
          <w:szCs w:val="22"/>
          <w:rtl w:val="0"/>
        </w:rPr>
        <w:t xml:space="preserve">PROFESSIONAL OVERVIEW</w:t>
      </w:r>
      <w:r w:rsidDel="00000000" w:rsidR="00000000" w:rsidRPr="00000000">
        <w:rPr>
          <w:rtl w:val="0"/>
        </w:rPr>
      </w:r>
    </w:p>
    <w:p w:rsidR="00000000" w:rsidDel="00000000" w:rsidP="00000000" w:rsidRDefault="00000000" w:rsidRPr="00000000" w14:paraId="00000006">
      <w:pPr>
        <w:keepNext w:val="0"/>
        <w:spacing w:after="80" w:before="0" w:line="257" w:lineRule="auto"/>
        <w:rPr/>
      </w:pPr>
      <w:r w:rsidDel="00000000" w:rsidR="00000000" w:rsidRPr="00000000">
        <w:rPr>
          <w:rFonts w:ascii="Times New Roman" w:cs="Times New Roman" w:eastAsia="Times New Roman" w:hAnsi="Times New Roman"/>
          <w:color w:val="000000"/>
          <w:sz w:val="20"/>
          <w:szCs w:val="20"/>
          <w:rtl w:val="0"/>
        </w:rPr>
        <w:t xml:space="preserve">Planning and public administration professional providing defined research, analysis, and implementation support to local governments, municipal advisers, law firms, planning and engineering consultancies, developers, and regional organizations. Current Lake County Planning and Floodplain Administrator with experience converting regulatory, planning, demographic, economic, and fiscal information into defensible staff analyses, reports, policies, and operating tools.</w:t>
      </w:r>
      <w:r w:rsidDel="00000000" w:rsidR="00000000" w:rsidRPr="00000000">
        <w:rPr>
          <w:rtl w:val="0"/>
        </w:rPr>
      </w:r>
    </w:p>
    <w:p w:rsidR="00000000" w:rsidDel="00000000" w:rsidP="00000000" w:rsidRDefault="00000000" w:rsidRPr="00000000" w14:paraId="00000007">
      <w:pPr>
        <w:keepNext w:val="1"/>
        <w:shd w:fill="eaf2f8" w:val="clear"/>
        <w:spacing w:after="80" w:before="140" w:line="240" w:lineRule="auto"/>
        <w:ind w:left="75" w:right="75" w:firstLine="0"/>
        <w:rPr/>
      </w:pPr>
      <w:r w:rsidDel="00000000" w:rsidR="00000000" w:rsidRPr="00000000">
        <w:rPr>
          <w:rFonts w:ascii="Times New Roman" w:cs="Times New Roman" w:eastAsia="Times New Roman" w:hAnsi="Times New Roman"/>
          <w:b w:val="1"/>
          <w:bCs w:val="1"/>
          <w:color w:val="000000"/>
          <w:sz w:val="22"/>
          <w:szCs w:val="22"/>
          <w:rtl w:val="0"/>
        </w:rPr>
        <w:t xml:space="preserve">RELEVANT CAPABILITIES</w:t>
      </w:r>
      <w:r w:rsidDel="00000000" w:rsidR="00000000" w:rsidRPr="00000000">
        <w:rPr>
          <w:rtl w:val="0"/>
        </w:rPr>
      </w:r>
    </w:p>
    <w:tbl>
      <w:tblPr>
        <w:tblStyle w:val="Table1"/>
        <w:tblW w:w="10368.0" w:type="dxa"/>
        <w:jc w:val="center"/>
        <w:tblBorders>
          <w:top w:color="d9d9d9" w:space="0" w:sz="6" w:val="single"/>
          <w:left w:color="d9d9d9" w:space="0" w:sz="6" w:val="single"/>
          <w:bottom w:color="d9d9d9" w:space="0" w:sz="6" w:val="single"/>
          <w:right w:color="d9d9d9" w:space="0" w:sz="6" w:val="single"/>
          <w:insideH w:color="d9d9d9" w:space="0" w:sz="6" w:val="single"/>
          <w:insideV w:color="d9d9d9" w:space="0" w:sz="6" w:val="single"/>
        </w:tblBorders>
        <w:tblLayout w:type="fixed"/>
        <w:tblLook w:val="0400"/>
      </w:tblPr>
      <w:tblGrid>
        <w:gridCol w:w="5184"/>
        <w:gridCol w:w="5184"/>
        <w:tblGridChange w:id="0">
          <w:tblGrid>
            <w:gridCol w:w="5184"/>
            <w:gridCol w:w="5184"/>
          </w:tblGrid>
        </w:tblGridChange>
      </w:tblGrid>
      <w:tr>
        <w:trPr>
          <w:cantSplit w:val="0"/>
          <w:tblHeader w:val="0"/>
        </w:trPr>
        <w:tc>
          <w:tcPr>
            <w:tcMar>
              <w:top w:w="135.0" w:type="dxa"/>
              <w:bottom w:w="135.0" w:type="dxa"/>
            </w:tcMar>
            <w:vAlign w:val="center"/>
          </w:tcPr>
          <w:p w:rsidR="00000000" w:rsidDel="00000000" w:rsidP="00000000" w:rsidRDefault="00000000" w:rsidRPr="00000000" w14:paraId="00000008">
            <w:pPr>
              <w:keepNext w:val="1"/>
              <w:spacing w:after="44" w:before="0" w:line="240" w:lineRule="auto"/>
              <w:rPr/>
            </w:pPr>
            <w:r w:rsidDel="00000000" w:rsidR="00000000" w:rsidRPr="00000000">
              <w:rPr>
                <w:rFonts w:ascii="Times New Roman" w:cs="Times New Roman" w:eastAsia="Times New Roman" w:hAnsi="Times New Roman"/>
                <w:b w:val="1"/>
                <w:bCs w:val="1"/>
                <w:color w:val="000000"/>
                <w:sz w:val="21"/>
                <w:szCs w:val="21"/>
                <w:rtl w:val="0"/>
              </w:rPr>
              <w:t xml:space="preserve">Planning and Development Administration</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216" w:right="0" w:hanging="158"/>
              <w:jc w:val="left"/>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Zoning and unified development ordinance interpretation</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216" w:right="0" w:hanging="158"/>
              <w:jc w:val="left"/>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Development, site plan, and subdivision review</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216" w:right="0" w:hanging="158"/>
              <w:jc w:val="left"/>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Plan Commission and BZA analysis, findings, and staff support</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45" w:lineRule="auto"/>
              <w:ind w:left="216" w:right="0" w:hanging="158"/>
              <w:jc w:val="left"/>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Land use, parcel, entitlement, and feasibility research</w:t>
            </w:r>
            <w:r w:rsidDel="00000000" w:rsidR="00000000" w:rsidRPr="00000000">
              <w:rPr>
                <w:rtl w:val="0"/>
              </w:rPr>
            </w:r>
          </w:p>
        </w:tc>
        <w:tc>
          <w:tcPr>
            <w:shd w:fill="f7f7f7" w:val="clear"/>
            <w:tcMar>
              <w:top w:w="135.0" w:type="dxa"/>
              <w:bottom w:w="135.0" w:type="dxa"/>
            </w:tcMar>
            <w:vAlign w:val="center"/>
          </w:tcPr>
          <w:p w:rsidR="00000000" w:rsidDel="00000000" w:rsidP="00000000" w:rsidRDefault="00000000" w:rsidRPr="00000000" w14:paraId="0000000D">
            <w:pPr>
              <w:keepNext w:val="1"/>
              <w:spacing w:after="44" w:before="0" w:line="240" w:lineRule="auto"/>
              <w:rPr/>
            </w:pPr>
            <w:r w:rsidDel="00000000" w:rsidR="00000000" w:rsidRPr="00000000">
              <w:rPr>
                <w:rFonts w:ascii="Times New Roman" w:cs="Times New Roman" w:eastAsia="Times New Roman" w:hAnsi="Times New Roman"/>
                <w:b w:val="1"/>
                <w:bCs w:val="1"/>
                <w:color w:val="000000"/>
                <w:sz w:val="21"/>
                <w:szCs w:val="21"/>
                <w:rtl w:val="0"/>
              </w:rPr>
              <w:t xml:space="preserve">Municipal and Public Sector Consulting</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216" w:right="0" w:hanging="158"/>
              <w:jc w:val="left"/>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Comprehensive, strategic, and redevelopment planning support</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216" w:right="0" w:hanging="158"/>
              <w:jc w:val="left"/>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Annexation, development impact, and existing conditions research</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216" w:right="0" w:hanging="158"/>
              <w:jc w:val="left"/>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Fee, cost recovery, fiscal, and comparative municipal analysis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45" w:lineRule="auto"/>
              <w:ind w:left="216" w:right="0" w:hanging="158"/>
              <w:jc w:val="left"/>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Workflow reviews, implementation guidance, reports, and memoranda</w:t>
            </w:r>
            <w:r w:rsidDel="00000000" w:rsidR="00000000" w:rsidRPr="00000000">
              <w:rPr>
                <w:rtl w:val="0"/>
              </w:rPr>
            </w:r>
          </w:p>
        </w:tc>
      </w:tr>
      <w:tr>
        <w:trPr>
          <w:cantSplit w:val="0"/>
          <w:tblHeader w:val="0"/>
        </w:trPr>
        <w:tc>
          <w:tcPr>
            <w:shd w:fill="f7f7f7" w:val="clear"/>
            <w:tcMar>
              <w:top w:w="135.0" w:type="dxa"/>
              <w:bottom w:w="135.0" w:type="dxa"/>
            </w:tcMar>
            <w:vAlign w:val="center"/>
          </w:tcPr>
          <w:p w:rsidR="00000000" w:rsidDel="00000000" w:rsidP="00000000" w:rsidRDefault="00000000" w:rsidRPr="00000000" w14:paraId="00000012">
            <w:pPr>
              <w:keepNext w:val="1"/>
              <w:spacing w:after="44" w:before="0" w:line="240" w:lineRule="auto"/>
              <w:rPr/>
            </w:pPr>
            <w:r w:rsidDel="00000000" w:rsidR="00000000" w:rsidRPr="00000000">
              <w:rPr>
                <w:rFonts w:ascii="Times New Roman" w:cs="Times New Roman" w:eastAsia="Times New Roman" w:hAnsi="Times New Roman"/>
                <w:b w:val="1"/>
                <w:bCs w:val="1"/>
                <w:color w:val="000000"/>
                <w:sz w:val="21"/>
                <w:szCs w:val="21"/>
                <w:rtl w:val="0"/>
              </w:rPr>
              <w:t xml:space="preserve">Floodplain and Regulatory Coordination</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216" w:right="0" w:hanging="158"/>
              <w:jc w:val="left"/>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NFIP compliance and floodplain development administration</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216" w:right="0" w:hanging="158"/>
              <w:jc w:val="left"/>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Substantial improvement and substantial damage determinations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216" w:right="0" w:hanging="158"/>
              <w:jc w:val="left"/>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Elevation certificate review and ordinance amendment support</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45" w:lineRule="auto"/>
              <w:ind w:left="216" w:right="0" w:hanging="158"/>
              <w:jc w:val="left"/>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Coordination with FEMA, Indiana DNR, applicants, and consultants</w:t>
            </w:r>
            <w:r w:rsidDel="00000000" w:rsidR="00000000" w:rsidRPr="00000000">
              <w:rPr>
                <w:rtl w:val="0"/>
              </w:rPr>
            </w:r>
          </w:p>
        </w:tc>
        <w:tc>
          <w:tcPr>
            <w:tcMar>
              <w:top w:w="135.0" w:type="dxa"/>
              <w:bottom w:w="135.0" w:type="dxa"/>
            </w:tcMar>
            <w:vAlign w:val="center"/>
          </w:tcPr>
          <w:p w:rsidR="00000000" w:rsidDel="00000000" w:rsidP="00000000" w:rsidRDefault="00000000" w:rsidRPr="00000000" w14:paraId="00000017">
            <w:pPr>
              <w:keepNext w:val="1"/>
              <w:spacing w:after="44" w:before="0" w:line="240" w:lineRule="auto"/>
              <w:rPr/>
            </w:pPr>
            <w:r w:rsidDel="00000000" w:rsidR="00000000" w:rsidRPr="00000000">
              <w:rPr>
                <w:rFonts w:ascii="Times New Roman" w:cs="Times New Roman" w:eastAsia="Times New Roman" w:hAnsi="Times New Roman"/>
                <w:b w:val="1"/>
                <w:bCs w:val="1"/>
                <w:color w:val="000000"/>
                <w:sz w:val="21"/>
                <w:szCs w:val="21"/>
                <w:rtl w:val="0"/>
              </w:rPr>
              <w:t xml:space="preserve">Analytics and Decision Support</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216" w:right="0" w:hanging="158"/>
              <w:jc w:val="left"/>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Demographic, economic, fiscal, and public revenue analysis</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216" w:right="0" w:hanging="158"/>
              <w:jc w:val="left"/>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Forecasts, projections, indicators, and development assumptions</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216" w:right="0" w:hanging="158"/>
              <w:jc w:val="left"/>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GIS and map based analysis for planning and policy decisions</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45" w:lineRule="auto"/>
              <w:ind w:left="216" w:right="0" w:hanging="158"/>
              <w:jc w:val="left"/>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Excel, SQL, Power BI, Tableau, Census ACS, BEA, and BLS data</w:t>
            </w:r>
            <w:r w:rsidDel="00000000" w:rsidR="00000000" w:rsidRPr="00000000">
              <w:rPr>
                <w:rtl w:val="0"/>
              </w:rPr>
            </w:r>
          </w:p>
        </w:tc>
      </w:tr>
    </w:tbl>
    <w:p w:rsidR="00000000" w:rsidDel="00000000" w:rsidP="00000000" w:rsidRDefault="00000000" w:rsidRPr="00000000" w14:paraId="0000001C">
      <w:pPr>
        <w:keepNext w:val="1"/>
        <w:shd w:fill="eaf2f8" w:val="clear"/>
        <w:spacing w:after="80" w:before="140" w:line="240" w:lineRule="auto"/>
        <w:ind w:left="75" w:right="75" w:firstLine="0"/>
        <w:rPr/>
      </w:pPr>
      <w:r w:rsidDel="00000000" w:rsidR="00000000" w:rsidRPr="00000000">
        <w:rPr>
          <w:rFonts w:ascii="Times New Roman" w:cs="Times New Roman" w:eastAsia="Times New Roman" w:hAnsi="Times New Roman"/>
          <w:b w:val="1"/>
          <w:bCs w:val="1"/>
          <w:color w:val="000000"/>
          <w:sz w:val="22"/>
          <w:szCs w:val="22"/>
          <w:rtl w:val="0"/>
        </w:rPr>
        <w:t xml:space="preserve">RELEVANT EXPERIENCE</w:t>
      </w:r>
      <w:r w:rsidDel="00000000" w:rsidR="00000000" w:rsidRPr="00000000">
        <w:rPr>
          <w:rtl w:val="0"/>
        </w:rPr>
      </w:r>
    </w:p>
    <w:p w:rsidR="00000000" w:rsidDel="00000000" w:rsidP="00000000" w:rsidRDefault="00000000" w:rsidRPr="00000000" w14:paraId="0000001D">
      <w:pPr>
        <w:keepNext w:val="0"/>
        <w:spacing w:after="64" w:before="48" w:line="250" w:lineRule="auto"/>
        <w:rPr/>
      </w:pPr>
      <w:r w:rsidDel="00000000" w:rsidR="00000000" w:rsidRPr="00000000">
        <w:rPr>
          <w:rFonts w:ascii="Times New Roman" w:cs="Times New Roman" w:eastAsia="Times New Roman" w:hAnsi="Times New Roman"/>
          <w:b w:val="1"/>
          <w:bCs w:val="1"/>
          <w:color w:val="000000"/>
          <w:sz w:val="20"/>
          <w:szCs w:val="20"/>
          <w:rtl w:val="0"/>
        </w:rPr>
        <w:t xml:space="preserve">Planning Administrator and Floodplain Administrator  |  Lake County Plan Commission</w:t>
      </w:r>
      <w:r w:rsidDel="00000000" w:rsidR="00000000" w:rsidRPr="00000000">
        <w:rPr>
          <w:rFonts w:ascii="Times New Roman" w:cs="Times New Roman" w:eastAsia="Times New Roman" w:hAnsi="Times New Roman"/>
          <w:i w:val="1"/>
          <w:iCs w:val="1"/>
          <w:color w:val="000000"/>
          <w:sz w:val="19"/>
          <w:szCs w:val="19"/>
          <w:rtl w:val="0"/>
        </w:rPr>
        <w:t xml:space="preserve">  |  Present</w:t>
      </w:r>
      <w:r w:rsidDel="00000000" w:rsidR="00000000" w:rsidRPr="00000000">
        <w:rPr>
          <w:rFonts w:ascii="Times New Roman" w:cs="Times New Roman" w:eastAsia="Times New Roman" w:hAnsi="Times New Roman"/>
          <w:color w:val="000000"/>
          <w:sz w:val="19"/>
          <w:szCs w:val="19"/>
          <w:rtl w:val="0"/>
        </w:rPr>
        <w:br w:type="textWrapping"/>
        <w:t xml:space="preserve">Administers the Unified Development Ordinance and NFIP requirements for unincorporated Lake County; reviews development and subdivision proposals; prepares Plan Commission and BZA analyses; issues permits and determinations; coordinates with applicants, engineers, attorneys, FEMA, and Indiana DNR; and leads amendment of the county flood damage prevention ordinance.</w:t>
      </w:r>
      <w:r w:rsidDel="00000000" w:rsidR="00000000" w:rsidRPr="00000000">
        <w:rPr>
          <w:rtl w:val="0"/>
        </w:rPr>
      </w:r>
    </w:p>
    <w:p w:rsidR="00000000" w:rsidDel="00000000" w:rsidP="00000000" w:rsidRDefault="00000000" w:rsidRPr="00000000" w14:paraId="0000001E">
      <w:pPr>
        <w:keepNext w:val="0"/>
        <w:spacing w:after="64" w:before="48" w:line="250" w:lineRule="auto"/>
        <w:rPr/>
      </w:pPr>
      <w:r w:rsidDel="00000000" w:rsidR="00000000" w:rsidRPr="00000000">
        <w:rPr>
          <w:rFonts w:ascii="Times New Roman" w:cs="Times New Roman" w:eastAsia="Times New Roman" w:hAnsi="Times New Roman"/>
          <w:b w:val="1"/>
          <w:bCs w:val="1"/>
          <w:color w:val="000000"/>
          <w:sz w:val="20"/>
          <w:szCs w:val="20"/>
          <w:rtl w:val="0"/>
        </w:rPr>
        <w:t xml:space="preserve">Research Associate  |  Northern Illinois University Center for Governmental Studies</w:t>
      </w:r>
      <w:r w:rsidDel="00000000" w:rsidR="00000000" w:rsidRPr="00000000">
        <w:rPr>
          <w:rFonts w:ascii="Times New Roman" w:cs="Times New Roman" w:eastAsia="Times New Roman" w:hAnsi="Times New Roman"/>
          <w:i w:val="1"/>
          <w:iCs w:val="1"/>
          <w:color w:val="000000"/>
          <w:sz w:val="19"/>
          <w:szCs w:val="19"/>
          <w:rtl w:val="0"/>
        </w:rPr>
        <w:t xml:space="preserve">  |  2023 to 2025</w:t>
      </w:r>
      <w:r w:rsidDel="00000000" w:rsidR="00000000" w:rsidRPr="00000000">
        <w:rPr>
          <w:rFonts w:ascii="Times New Roman" w:cs="Times New Roman" w:eastAsia="Times New Roman" w:hAnsi="Times New Roman"/>
          <w:color w:val="000000"/>
          <w:sz w:val="19"/>
          <w:szCs w:val="19"/>
          <w:rtl w:val="0"/>
        </w:rPr>
        <w:br w:type="textWrapping"/>
        <w:t xml:space="preserve">Conducted management analysis, comprehensive planning, and demographic, economic, and fiscal research for counties, municipalities, villages, and special districts. Designed and facilitated planning workshops and translated public data into recommendations for elected boards, councils, and agency leaders.</w:t>
      </w:r>
      <w:r w:rsidDel="00000000" w:rsidR="00000000" w:rsidRPr="00000000">
        <w:rPr>
          <w:rtl w:val="0"/>
        </w:rPr>
      </w:r>
    </w:p>
    <w:p w:rsidR="00000000" w:rsidDel="00000000" w:rsidP="00000000" w:rsidRDefault="00000000" w:rsidRPr="00000000" w14:paraId="0000001F">
      <w:pPr>
        <w:keepNext w:val="0"/>
        <w:spacing w:after="64" w:before="48" w:line="250" w:lineRule="auto"/>
        <w:rPr/>
      </w:pPr>
      <w:r w:rsidDel="00000000" w:rsidR="00000000" w:rsidRPr="00000000">
        <w:rPr>
          <w:rFonts w:ascii="Times New Roman" w:cs="Times New Roman" w:eastAsia="Times New Roman" w:hAnsi="Times New Roman"/>
          <w:b w:val="1"/>
          <w:bCs w:val="1"/>
          <w:color w:val="000000"/>
          <w:sz w:val="20"/>
          <w:szCs w:val="20"/>
          <w:rtl w:val="0"/>
        </w:rPr>
        <w:t xml:space="preserve">Project Manager Contract  |  Illinois Department of Natural Resources</w:t>
      </w:r>
      <w:r w:rsidDel="00000000" w:rsidR="00000000" w:rsidRPr="00000000">
        <w:rPr>
          <w:rFonts w:ascii="Times New Roman" w:cs="Times New Roman" w:eastAsia="Times New Roman" w:hAnsi="Times New Roman"/>
          <w:i w:val="1"/>
          <w:iCs w:val="1"/>
          <w:color w:val="000000"/>
          <w:sz w:val="19"/>
          <w:szCs w:val="19"/>
          <w:rtl w:val="0"/>
        </w:rPr>
        <w:t xml:space="preserve">  |  2024 to 2025</w:t>
      </w:r>
      <w:r w:rsidDel="00000000" w:rsidR="00000000" w:rsidRPr="00000000">
        <w:rPr>
          <w:rFonts w:ascii="Times New Roman" w:cs="Times New Roman" w:eastAsia="Times New Roman" w:hAnsi="Times New Roman"/>
          <w:color w:val="000000"/>
          <w:sz w:val="19"/>
          <w:szCs w:val="19"/>
          <w:rtl w:val="0"/>
        </w:rPr>
        <w:br w:type="textWrapping"/>
        <w:t xml:space="preserve">Managed outdoor recreation and open space planning work, coordinated agency and local stakeholders, and developed an intergovernmental policy strategy supporting stewardship of parks and open lands.</w:t>
      </w:r>
      <w:r w:rsidDel="00000000" w:rsidR="00000000" w:rsidRPr="00000000">
        <w:rPr>
          <w:rtl w:val="0"/>
        </w:rPr>
      </w:r>
    </w:p>
    <w:p w:rsidR="00000000" w:rsidDel="00000000" w:rsidP="00000000" w:rsidRDefault="00000000" w:rsidRPr="00000000" w14:paraId="00000020">
      <w:pPr>
        <w:keepNext w:val="0"/>
        <w:spacing w:after="64" w:before="48" w:line="250" w:lineRule="auto"/>
        <w:rPr/>
      </w:pPr>
      <w:r w:rsidDel="00000000" w:rsidR="00000000" w:rsidRPr="00000000">
        <w:rPr>
          <w:rFonts w:ascii="Times New Roman" w:cs="Times New Roman" w:eastAsia="Times New Roman" w:hAnsi="Times New Roman"/>
          <w:b w:val="1"/>
          <w:bCs w:val="1"/>
          <w:color w:val="000000"/>
          <w:sz w:val="20"/>
          <w:szCs w:val="20"/>
          <w:rtl w:val="0"/>
        </w:rPr>
        <w:t xml:space="preserve">Independent Contract Support  |  </w:t>
      </w:r>
      <w:r w:rsidDel="00000000" w:rsidR="00000000" w:rsidRPr="00000000">
        <w:rPr>
          <w:rFonts w:ascii="Times New Roman" w:cs="Times New Roman" w:eastAsia="Times New Roman" w:hAnsi="Times New Roman"/>
          <w:i w:val="1"/>
          <w:iCs w:val="1"/>
          <w:color w:val="000000"/>
          <w:sz w:val="19"/>
          <w:szCs w:val="19"/>
          <w:rtl w:val="0"/>
        </w:rPr>
        <w:t xml:space="preserve">Project Based</w:t>
      </w:r>
      <w:r w:rsidDel="00000000" w:rsidR="00000000" w:rsidRPr="00000000">
        <w:rPr>
          <w:rFonts w:ascii="Times New Roman" w:cs="Times New Roman" w:eastAsia="Times New Roman" w:hAnsi="Times New Roman"/>
          <w:color w:val="000000"/>
          <w:sz w:val="19"/>
          <w:szCs w:val="19"/>
          <w:rtl w:val="0"/>
        </w:rPr>
        <w:br w:type="textWrapping"/>
        <w:t xml:space="preserve">Reviewed and improved memoranda of understanding and construction management agreements, with emphasis on clearer responsibilities, coordination, implementation, and accountability.</w:t>
      </w:r>
      <w:r w:rsidDel="00000000" w:rsidR="00000000" w:rsidRPr="00000000">
        <w:rPr>
          <w:rtl w:val="0"/>
        </w:rPr>
      </w:r>
    </w:p>
    <w:p w:rsidR="00000000" w:rsidDel="00000000" w:rsidP="00000000" w:rsidRDefault="00000000" w:rsidRPr="00000000" w14:paraId="00000021">
      <w:pPr>
        <w:keepNext w:val="1"/>
        <w:shd w:fill="eaf2f8" w:val="clear"/>
        <w:spacing w:after="80" w:before="140" w:line="240" w:lineRule="auto"/>
        <w:ind w:left="75" w:right="75" w:firstLine="0"/>
        <w:rPr/>
      </w:pPr>
      <w:r w:rsidDel="00000000" w:rsidR="00000000" w:rsidRPr="00000000">
        <w:rPr>
          <w:rFonts w:ascii="Times New Roman" w:cs="Times New Roman" w:eastAsia="Times New Roman" w:hAnsi="Times New Roman"/>
          <w:b w:val="1"/>
          <w:bCs w:val="1"/>
          <w:color w:val="000000"/>
          <w:sz w:val="22"/>
          <w:szCs w:val="22"/>
          <w:rtl w:val="0"/>
        </w:rPr>
        <w:t xml:space="preserve">REPRESENTATIVE PUBLIC SECTOR WORK</w:t>
      </w:r>
      <w:r w:rsidDel="00000000" w:rsidR="00000000" w:rsidRPr="00000000">
        <w:rPr>
          <w:rtl w:val="0"/>
        </w:rPr>
      </w:r>
    </w:p>
    <w:p w:rsidR="00000000" w:rsidDel="00000000" w:rsidP="00000000" w:rsidRDefault="00000000" w:rsidRPr="00000000" w14:paraId="00000022">
      <w:pPr>
        <w:keepNext w:val="0"/>
        <w:spacing w:after="60" w:before="0" w:line="246.99999999999994" w:lineRule="auto"/>
        <w:rPr/>
      </w:pPr>
      <w:r w:rsidDel="00000000" w:rsidR="00000000" w:rsidRPr="00000000">
        <w:rPr>
          <w:rFonts w:ascii="Times New Roman" w:cs="Times New Roman" w:eastAsia="Times New Roman" w:hAnsi="Times New Roman"/>
          <w:color w:val="000000"/>
          <w:sz w:val="19"/>
          <w:szCs w:val="19"/>
          <w:rtl w:val="0"/>
        </w:rPr>
        <w:t xml:space="preserve">Boone County, DeKalb County, Arlington Heights, Bannockburn, East Dundee, Romeoville, North Riverside, Oswego Fire Protection District, City of Oregon, Illinois Department of Natural Resources, and Lake County.</w:t>
      </w:r>
      <w:r w:rsidDel="00000000" w:rsidR="00000000" w:rsidRPr="00000000">
        <w:rPr>
          <w:rtl w:val="0"/>
        </w:rPr>
      </w:r>
    </w:p>
    <w:p w:rsidR="00000000" w:rsidDel="00000000" w:rsidP="00000000" w:rsidRDefault="00000000" w:rsidRPr="00000000" w14:paraId="00000023">
      <w:pPr>
        <w:keepNext w:val="1"/>
        <w:shd w:fill="eaf2f8" w:val="clear"/>
        <w:spacing w:after="80" w:before="140" w:line="240" w:lineRule="auto"/>
        <w:ind w:left="75" w:right="75" w:firstLine="0"/>
        <w:rPr/>
      </w:pPr>
      <w:r w:rsidDel="00000000" w:rsidR="00000000" w:rsidRPr="00000000">
        <w:rPr>
          <w:rFonts w:ascii="Times New Roman" w:cs="Times New Roman" w:eastAsia="Times New Roman" w:hAnsi="Times New Roman"/>
          <w:b w:val="1"/>
          <w:bCs w:val="1"/>
          <w:color w:val="000000"/>
          <w:sz w:val="22"/>
          <w:szCs w:val="22"/>
          <w:rtl w:val="0"/>
        </w:rPr>
        <w:t xml:space="preserve">EDUCATION AND TECHNICAL QUALIFICATIONS</w:t>
      </w:r>
      <w:r w:rsidDel="00000000" w:rsidR="00000000" w:rsidRPr="00000000">
        <w:rPr>
          <w:rtl w:val="0"/>
        </w:rPr>
      </w:r>
    </w:p>
    <w:p w:rsidR="00000000" w:rsidDel="00000000" w:rsidP="00000000" w:rsidRDefault="00000000" w:rsidRPr="00000000" w14:paraId="00000024">
      <w:pPr>
        <w:keepNext w:val="0"/>
        <w:spacing w:after="40" w:before="0" w:line="240" w:lineRule="auto"/>
        <w:rPr/>
      </w:pPr>
      <w:r w:rsidDel="00000000" w:rsidR="00000000" w:rsidRPr="00000000">
        <w:rPr>
          <w:rFonts w:ascii="Times New Roman" w:cs="Times New Roman" w:eastAsia="Times New Roman" w:hAnsi="Times New Roman"/>
          <w:b w:val="1"/>
          <w:bCs w:val="1"/>
          <w:color w:val="000000"/>
          <w:sz w:val="19"/>
          <w:szCs w:val="19"/>
          <w:rtl w:val="0"/>
        </w:rPr>
        <w:t xml:space="preserve">Master of Public Administration  </w:t>
      </w:r>
      <w:r w:rsidDel="00000000" w:rsidR="00000000" w:rsidRPr="00000000">
        <w:rPr>
          <w:rFonts w:ascii="Times New Roman" w:cs="Times New Roman" w:eastAsia="Times New Roman" w:hAnsi="Times New Roman"/>
          <w:color w:val="000000"/>
          <w:sz w:val="19"/>
          <w:szCs w:val="19"/>
          <w:rtl w:val="0"/>
        </w:rPr>
        <w:t xml:space="preserve">Strategic Public Management and Leadership  |  Northern Illinois University  |  2025</w:t>
      </w:r>
      <w:r w:rsidDel="00000000" w:rsidR="00000000" w:rsidRPr="00000000">
        <w:rPr>
          <w:rtl w:val="0"/>
        </w:rPr>
      </w:r>
    </w:p>
    <w:p w:rsidR="00000000" w:rsidDel="00000000" w:rsidP="00000000" w:rsidRDefault="00000000" w:rsidRPr="00000000" w14:paraId="00000025">
      <w:pPr>
        <w:keepNext w:val="0"/>
        <w:spacing w:after="40" w:before="0" w:line="240" w:lineRule="auto"/>
        <w:rPr/>
      </w:pPr>
      <w:r w:rsidDel="00000000" w:rsidR="00000000" w:rsidRPr="00000000">
        <w:rPr>
          <w:rFonts w:ascii="Times New Roman" w:cs="Times New Roman" w:eastAsia="Times New Roman" w:hAnsi="Times New Roman"/>
          <w:b w:val="1"/>
          <w:bCs w:val="1"/>
          <w:color w:val="000000"/>
          <w:sz w:val="19"/>
          <w:szCs w:val="19"/>
          <w:rtl w:val="0"/>
        </w:rPr>
        <w:t xml:space="preserve">Bachelor of Science in Business Analytics  </w:t>
      </w:r>
      <w:r w:rsidDel="00000000" w:rsidR="00000000" w:rsidRPr="00000000">
        <w:rPr>
          <w:rFonts w:ascii="Times New Roman" w:cs="Times New Roman" w:eastAsia="Times New Roman" w:hAnsi="Times New Roman"/>
          <w:color w:val="000000"/>
          <w:sz w:val="19"/>
          <w:szCs w:val="19"/>
          <w:rtl w:val="0"/>
        </w:rPr>
        <w:t xml:space="preserve">Minor in Computer Information Systems  |  Purdue University  |  2020</w:t>
      </w:r>
      <w:r w:rsidDel="00000000" w:rsidR="00000000" w:rsidRPr="00000000">
        <w:rPr>
          <w:rtl w:val="0"/>
        </w:rPr>
      </w:r>
    </w:p>
    <w:p w:rsidR="00000000" w:rsidDel="00000000" w:rsidP="00000000" w:rsidRDefault="00000000" w:rsidRPr="00000000" w14:paraId="00000026">
      <w:pPr>
        <w:keepNext w:val="0"/>
        <w:spacing w:after="0" w:before="120" w:line="240" w:lineRule="auto"/>
        <w:jc w:val="center"/>
        <w:rPr/>
      </w:pPr>
      <w:r w:rsidDel="00000000" w:rsidR="00000000" w:rsidRPr="00000000">
        <w:rPr>
          <w:rFonts w:ascii="Times New Roman" w:cs="Times New Roman" w:eastAsia="Times New Roman" w:hAnsi="Times New Roman"/>
          <w:i w:val="1"/>
          <w:iCs w:val="1"/>
          <w:color w:val="1f4e79"/>
          <w:sz w:val="18"/>
          <w:szCs w:val="18"/>
          <w:rtl w:val="0"/>
        </w:rPr>
        <w:t xml:space="preserve">Available for defined project based consulting and subcontract support. Each assignment is performed outside public employment hours and screened for jurisdictional, applicant, and information conflicts before acceptance.</w:t>
      </w:r>
      <w:r w:rsidDel="00000000" w:rsidR="00000000" w:rsidRPr="00000000">
        <w:rPr>
          <w:rtl w:val="0"/>
        </w:rPr>
      </w:r>
    </w:p>
    <w:sectPr>
      <w:pgSz w:h="15840" w:w="12240" w:orient="portrait"/>
      <w:pgMar w:bottom="691" w:top="720" w:left="864" w:right="864" w:header="288"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Times New Roman" w:cs="Times New Roman" w:eastAsia="Times New Roman" w:hAnsi="Times New Roman"/>
      <w:b w:val="1"/>
      <w:bCs w:val="1"/>
      <w:color w:val="000000"/>
      <w:sz w:val="28"/>
      <w:szCs w:val="28"/>
    </w:rPr>
  </w:style>
  <w:style w:type="paragraph" w:styleId="Heading2">
    <w:name w:val="heading 2"/>
    <w:basedOn w:val="Normal"/>
    <w:next w:val="Normal"/>
    <w:pPr>
      <w:keepNext w:val="1"/>
      <w:keepLines w:val="1"/>
      <w:spacing w:after="0" w:before="200" w:lineRule="auto"/>
    </w:pPr>
    <w:rPr>
      <w:rFonts w:ascii="Times New Roman" w:cs="Times New Roman" w:eastAsia="Times New Roman" w:hAnsi="Times New Roman"/>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Times New Roman" w:cs="Times New Roman" w:eastAsia="Times New Roman" w:hAnsi="Times New Roman"/>
      <w:color w:val="000000"/>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rPr>
      <w:rFonts w:ascii="Times New Roman" w:eastAsia="Times New Roman" w:hAnsi="Times New Roman"/>
      <w:color w:val="000000"/>
    </w:r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Times New Roman" w:cs="Times New Roman" w:eastAsia="Times New Roman" w:hAnsi="Times New Roman"/>
      <w:i w:val="1"/>
      <w:iCs w:val="1"/>
      <w:color w:val="000000"/>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kenneth-wolfrum.webnode.page/portfolio2/" TargetMode="External"/><Relationship Id="rId9" Type="http://schemas.openxmlformats.org/officeDocument/2006/relationships/hyperlink" Target="https://www.linkedin.com/in/kenneth-wolfru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tel:+12196696099" TargetMode="External"/><Relationship Id="rId8" Type="http://schemas.openxmlformats.org/officeDocument/2006/relationships/hyperlink" Target="mailto:kmurflow@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HRpiwUCnOaPDl+Zuw3VvkTDtg==">CgMxLjA4AHIhMVMyN0EyQTRhVGdaZ1JtZVhkMnJSQWRtNVk3U19VU0lO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Kenneth A. Wolfrum</dc:creator>
</cp:coreProperties>
</file>